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before="100" w:beforeAutospacing="1" w:after="100" w:afterAutospacing="1" w:line="360" w:lineRule="auto"/>
        <w:ind w:firstLine="643" w:firstLineChars="200"/>
        <w:rPr>
          <w:rFonts w:ascii="仿宋" w:hAnsi="仿宋" w:eastAsia="仿宋"/>
          <w:sz w:val="32"/>
          <w:szCs w:val="32"/>
        </w:rPr>
      </w:pPr>
      <w:bookmarkStart w:id="0" w:name="_GoBack"/>
      <w:r>
        <w:rPr>
          <w:rFonts w:hint="eastAsia" w:ascii="仿宋" w:hAnsi="仿宋" w:eastAsia="仿宋"/>
          <w:sz w:val="32"/>
          <w:szCs w:val="32"/>
        </w:rPr>
        <w:t>附件1：“易加双减”第二阶段试点学校遴选标准</w:t>
      </w:r>
      <w:bookmarkEnd w:id="0"/>
    </w:p>
    <w:tbl>
      <w:tblPr>
        <w:tblStyle w:val="9"/>
        <w:tblW w:w="8915" w:type="dxa"/>
        <w:tblInd w:w="-17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7"/>
        <w:gridCol w:w="1417"/>
        <w:gridCol w:w="622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1" w:hRule="atLeast"/>
        </w:trPr>
        <w:tc>
          <w:tcPr>
            <w:tcW w:w="1277" w:type="dxa"/>
            <w:vAlign w:val="center"/>
          </w:tcPr>
          <w:p>
            <w:pPr>
              <w:spacing w:line="360" w:lineRule="exact"/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一级</w:t>
            </w:r>
          </w:p>
          <w:p>
            <w:pPr>
              <w:spacing w:line="360" w:lineRule="exact"/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指标</w:t>
            </w:r>
          </w:p>
        </w:tc>
        <w:tc>
          <w:tcPr>
            <w:tcW w:w="1417" w:type="dxa"/>
            <w:vAlign w:val="center"/>
          </w:tcPr>
          <w:p>
            <w:pPr>
              <w:spacing w:line="360" w:lineRule="exact"/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二级</w:t>
            </w:r>
          </w:p>
          <w:p>
            <w:pPr>
              <w:spacing w:line="360" w:lineRule="exact"/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指标</w:t>
            </w:r>
          </w:p>
        </w:tc>
        <w:tc>
          <w:tcPr>
            <w:tcW w:w="6221" w:type="dxa"/>
            <w:vAlign w:val="center"/>
          </w:tcPr>
          <w:p>
            <w:pPr>
              <w:spacing w:line="360" w:lineRule="exact"/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指标描述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1" w:hRule="atLeast"/>
        </w:trPr>
        <w:tc>
          <w:tcPr>
            <w:tcW w:w="1277" w:type="dxa"/>
            <w:vMerge w:val="restart"/>
            <w:vAlign w:val="center"/>
          </w:tcPr>
          <w:p>
            <w:pPr>
              <w:spacing w:line="360" w:lineRule="exac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学校管理</w:t>
            </w:r>
          </w:p>
          <w:p>
            <w:pPr>
              <w:spacing w:line="360" w:lineRule="exac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(</w:t>
            </w:r>
            <w:r>
              <w:rPr>
                <w:rFonts w:ascii="仿宋" w:hAnsi="仿宋" w:eastAsia="仿宋"/>
                <w:sz w:val="24"/>
                <w:szCs w:val="24"/>
              </w:rPr>
              <w:t>30分)</w:t>
            </w:r>
          </w:p>
        </w:tc>
        <w:tc>
          <w:tcPr>
            <w:tcW w:w="1417" w:type="dxa"/>
            <w:vAlign w:val="center"/>
          </w:tcPr>
          <w:p>
            <w:pPr>
              <w:spacing w:line="360" w:lineRule="exac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思想意识（2</w:t>
            </w:r>
            <w:r>
              <w:rPr>
                <w:rFonts w:ascii="仿宋" w:hAnsi="仿宋" w:eastAsia="仿宋"/>
                <w:sz w:val="24"/>
                <w:szCs w:val="24"/>
              </w:rPr>
              <w:t>0分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）</w:t>
            </w:r>
          </w:p>
        </w:tc>
        <w:tc>
          <w:tcPr>
            <w:tcW w:w="6221" w:type="dxa"/>
            <w:vAlign w:val="center"/>
          </w:tcPr>
          <w:p>
            <w:pPr>
              <w:spacing w:line="360" w:lineRule="exac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学校领导和教师有热情、有激情从事试点应用工作，对教育信息化工作有钻研精神，能提出技术融合创新应用的独到见解。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1" w:hRule="atLeast"/>
        </w:trPr>
        <w:tc>
          <w:tcPr>
            <w:tcW w:w="1277" w:type="dxa"/>
            <w:vMerge w:val="continue"/>
            <w:vAlign w:val="center"/>
          </w:tcPr>
          <w:p>
            <w:pPr>
              <w:spacing w:line="360" w:lineRule="exact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>
            <w:pPr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ascii="Times New Roman" w:hAnsi="Times New Roman" w:eastAsia="仿宋"/>
                <w:sz w:val="24"/>
                <w:szCs w:val="24"/>
              </w:rPr>
              <w:t>体制保障</w:t>
            </w:r>
          </w:p>
          <w:p>
            <w:pPr>
              <w:spacing w:line="360" w:lineRule="exac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Times New Roman" w:hAnsi="Times New Roman" w:eastAsia="仿宋"/>
                <w:sz w:val="24"/>
                <w:szCs w:val="24"/>
              </w:rPr>
              <w:t>（10分）</w:t>
            </w:r>
          </w:p>
        </w:tc>
        <w:tc>
          <w:tcPr>
            <w:tcW w:w="6221" w:type="dxa"/>
            <w:vAlign w:val="center"/>
          </w:tcPr>
          <w:p>
            <w:pPr>
              <w:spacing w:line="360" w:lineRule="exac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Times New Roman" w:hAnsi="Times New Roman" w:eastAsia="仿宋"/>
                <w:sz w:val="24"/>
                <w:szCs w:val="24"/>
              </w:rPr>
              <w:t>建立应用激励、评价、督促机制，建成应用梯队，保障“</w:t>
            </w:r>
            <w:r>
              <w:rPr>
                <w:rFonts w:hint="eastAsia" w:ascii="Times New Roman" w:hAnsi="Times New Roman" w:eastAsia="仿宋"/>
                <w:sz w:val="24"/>
                <w:szCs w:val="24"/>
              </w:rPr>
              <w:t>易加双减</w:t>
            </w:r>
            <w:r>
              <w:rPr>
                <w:rFonts w:ascii="Times New Roman" w:hAnsi="Times New Roman" w:eastAsia="仿宋"/>
                <w:sz w:val="24"/>
                <w:szCs w:val="24"/>
              </w:rPr>
              <w:t>”常态化应用，使</w:t>
            </w:r>
            <w:r>
              <w:rPr>
                <w:rFonts w:hint="eastAsia" w:ascii="Times New Roman" w:hAnsi="Times New Roman" w:eastAsia="仿宋"/>
                <w:sz w:val="24"/>
                <w:szCs w:val="24"/>
              </w:rPr>
              <w:t>平台</w:t>
            </w:r>
            <w:r>
              <w:rPr>
                <w:rFonts w:ascii="Times New Roman" w:hAnsi="Times New Roman" w:eastAsia="仿宋"/>
                <w:sz w:val="24"/>
                <w:szCs w:val="24"/>
              </w:rPr>
              <w:t>功能在教师教学、学生学习等方面产生良好效果。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1" w:hRule="atLeast"/>
        </w:trPr>
        <w:tc>
          <w:tcPr>
            <w:tcW w:w="1277" w:type="dxa"/>
            <w:vMerge w:val="restart"/>
            <w:vAlign w:val="center"/>
          </w:tcPr>
          <w:p>
            <w:pPr>
              <w:spacing w:line="360" w:lineRule="exac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基础环境</w:t>
            </w:r>
          </w:p>
          <w:p>
            <w:pPr>
              <w:spacing w:line="360" w:lineRule="exac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（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0分）</w:t>
            </w:r>
          </w:p>
        </w:tc>
        <w:tc>
          <w:tcPr>
            <w:tcW w:w="1417" w:type="dxa"/>
            <w:vAlign w:val="center"/>
          </w:tcPr>
          <w:p>
            <w:pPr>
              <w:spacing w:line="360" w:lineRule="exac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硬件环境</w:t>
            </w:r>
          </w:p>
          <w:p>
            <w:pPr>
              <w:spacing w:line="360" w:lineRule="exac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（</w:t>
            </w:r>
            <w:r>
              <w:rPr>
                <w:rFonts w:ascii="仿宋" w:hAnsi="仿宋" w:eastAsia="仿宋"/>
                <w:sz w:val="24"/>
                <w:szCs w:val="24"/>
              </w:rPr>
              <w:t>5分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）</w:t>
            </w:r>
          </w:p>
        </w:tc>
        <w:tc>
          <w:tcPr>
            <w:tcW w:w="6221" w:type="dxa"/>
            <w:vAlign w:val="center"/>
          </w:tcPr>
          <w:p>
            <w:pPr>
              <w:spacing w:line="360" w:lineRule="exact"/>
              <w:rPr>
                <w:rFonts w:ascii="仿宋" w:hAnsi="仿宋" w:eastAsia="仿宋"/>
                <w:color w:val="0000FF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试点班级具备开展作业数据采集的终端设备（高拍仪或手机）。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1" w:hRule="atLeast"/>
        </w:trPr>
        <w:tc>
          <w:tcPr>
            <w:tcW w:w="1277" w:type="dxa"/>
            <w:vMerge w:val="continue"/>
            <w:vAlign w:val="center"/>
          </w:tcPr>
          <w:p>
            <w:pPr>
              <w:spacing w:line="360" w:lineRule="exact"/>
              <w:rPr>
                <w:rFonts w:ascii="仿宋" w:hAnsi="仿宋" w:eastAsia="仿宋"/>
                <w:b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>
            <w:pPr>
              <w:spacing w:line="360" w:lineRule="exact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ascii="Times New Roman" w:hAnsi="Times New Roman" w:eastAsia="仿宋"/>
                <w:sz w:val="24"/>
                <w:szCs w:val="24"/>
              </w:rPr>
              <w:t>已有基础</w:t>
            </w:r>
          </w:p>
          <w:p>
            <w:pPr>
              <w:spacing w:line="360" w:lineRule="exac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Times New Roman" w:hAnsi="Times New Roman" w:eastAsia="仿宋"/>
                <w:sz w:val="24"/>
                <w:szCs w:val="24"/>
              </w:rPr>
              <w:t>（5分）</w:t>
            </w:r>
          </w:p>
        </w:tc>
        <w:tc>
          <w:tcPr>
            <w:tcW w:w="6221" w:type="dxa"/>
            <w:vAlign w:val="center"/>
          </w:tcPr>
          <w:p>
            <w:pPr>
              <w:spacing w:line="360" w:lineRule="exac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Times New Roman" w:hAnsi="Times New Roman" w:eastAsia="仿宋"/>
                <w:bCs/>
                <w:sz w:val="24"/>
                <w:szCs w:val="24"/>
              </w:rPr>
              <w:t>师生具有信息技术应用能力；具备数据分析能力，包括教学分析、学习分析等。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</w:trPr>
        <w:tc>
          <w:tcPr>
            <w:tcW w:w="1277" w:type="dxa"/>
            <w:vMerge w:val="restart"/>
            <w:vAlign w:val="center"/>
          </w:tcPr>
          <w:p>
            <w:pPr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ascii="Times New Roman" w:hAnsi="Times New Roman" w:eastAsia="仿宋"/>
                <w:sz w:val="24"/>
                <w:szCs w:val="24"/>
              </w:rPr>
              <w:t>应用推进</w:t>
            </w:r>
          </w:p>
          <w:p>
            <w:pPr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ascii="Times New Roman" w:hAnsi="Times New Roman" w:eastAsia="仿宋"/>
                <w:sz w:val="24"/>
                <w:szCs w:val="24"/>
              </w:rPr>
              <w:t>（50分）</w:t>
            </w:r>
          </w:p>
        </w:tc>
        <w:tc>
          <w:tcPr>
            <w:tcW w:w="1417" w:type="dxa"/>
            <w:vAlign w:val="center"/>
          </w:tcPr>
          <w:p>
            <w:pPr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ascii="Times New Roman" w:hAnsi="Times New Roman" w:eastAsia="仿宋"/>
                <w:sz w:val="24"/>
                <w:szCs w:val="24"/>
              </w:rPr>
              <w:t>优化意见</w:t>
            </w:r>
          </w:p>
          <w:p>
            <w:pPr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（1</w:t>
            </w:r>
            <w:r>
              <w:rPr>
                <w:rFonts w:ascii="Times New Roman" w:hAnsi="Times New Roman" w:eastAsia="仿宋"/>
                <w:sz w:val="24"/>
                <w:szCs w:val="24"/>
              </w:rPr>
              <w:t>0分）</w:t>
            </w:r>
          </w:p>
        </w:tc>
        <w:tc>
          <w:tcPr>
            <w:tcW w:w="6221" w:type="dxa"/>
            <w:vAlign w:val="center"/>
          </w:tcPr>
          <w:p>
            <w:pPr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ascii="Times New Roman" w:hAnsi="Times New Roman" w:eastAsia="仿宋"/>
                <w:sz w:val="24"/>
                <w:szCs w:val="24"/>
              </w:rPr>
              <w:t>应用 “</w:t>
            </w:r>
            <w:r>
              <w:rPr>
                <w:rFonts w:hint="eastAsia" w:ascii="Times New Roman" w:hAnsi="Times New Roman" w:eastAsia="仿宋"/>
                <w:sz w:val="24"/>
                <w:szCs w:val="24"/>
              </w:rPr>
              <w:t>易加双减</w:t>
            </w:r>
            <w:r>
              <w:rPr>
                <w:rFonts w:ascii="Times New Roman" w:hAnsi="Times New Roman" w:eastAsia="仿宋"/>
                <w:sz w:val="24"/>
                <w:szCs w:val="24"/>
              </w:rPr>
              <w:t>”</w:t>
            </w:r>
            <w:r>
              <w:rPr>
                <w:rFonts w:hint="eastAsia" w:ascii="Times New Roman" w:hAnsi="Times New Roman" w:eastAsia="仿宋"/>
                <w:sz w:val="24"/>
                <w:szCs w:val="24"/>
              </w:rPr>
              <w:t>各功能模块</w:t>
            </w:r>
            <w:r>
              <w:rPr>
                <w:rFonts w:ascii="Times New Roman" w:hAnsi="Times New Roman" w:eastAsia="仿宋"/>
                <w:sz w:val="24"/>
                <w:szCs w:val="24"/>
              </w:rPr>
              <w:t>开展教学、学生学习活动，</w:t>
            </w:r>
            <w:r>
              <w:rPr>
                <w:rFonts w:hint="eastAsia" w:ascii="Times New Roman" w:hAnsi="Times New Roman" w:eastAsia="仿宋"/>
                <w:sz w:val="24"/>
                <w:szCs w:val="24"/>
              </w:rPr>
              <w:t>体验其实用性、适用性等，提出优化改进意见。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3" w:hRule="atLeast"/>
        </w:trPr>
        <w:tc>
          <w:tcPr>
            <w:tcW w:w="1277" w:type="dxa"/>
            <w:vMerge w:val="continue"/>
            <w:vAlign w:val="center"/>
          </w:tcPr>
          <w:p>
            <w:pPr>
              <w:rPr>
                <w:rFonts w:ascii="Times New Roman" w:hAnsi="Times New Roman" w:eastAsia="仿宋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>
            <w:pPr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ascii="Times New Roman" w:hAnsi="Times New Roman" w:eastAsia="仿宋"/>
                <w:sz w:val="24"/>
                <w:szCs w:val="24"/>
              </w:rPr>
              <w:t>教师应用</w:t>
            </w:r>
          </w:p>
          <w:p>
            <w:pPr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ascii="Times New Roman" w:hAnsi="Times New Roman" w:eastAsia="仿宋"/>
                <w:sz w:val="24"/>
                <w:szCs w:val="24"/>
              </w:rPr>
              <w:t>（20分）</w:t>
            </w:r>
          </w:p>
        </w:tc>
        <w:tc>
          <w:tcPr>
            <w:tcW w:w="6221" w:type="dxa"/>
            <w:vAlign w:val="center"/>
          </w:tcPr>
          <w:p>
            <w:pPr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应用作业功能完成教辅作业、自建作业、线上作业及开放作业的创建、发布、批阅、采集等操作，根据试点要求完成阶段性作业的全面采集，并形成绩效分析报告。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1" w:hRule="atLeast"/>
        </w:trPr>
        <w:tc>
          <w:tcPr>
            <w:tcW w:w="1277" w:type="dxa"/>
            <w:vMerge w:val="continue"/>
            <w:vAlign w:val="center"/>
          </w:tcPr>
          <w:p>
            <w:pPr>
              <w:rPr>
                <w:rFonts w:ascii="Times New Roman" w:hAnsi="Times New Roman" w:eastAsia="仿宋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>
            <w:pPr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ascii="Times New Roman" w:hAnsi="Times New Roman" w:eastAsia="仿宋"/>
                <w:sz w:val="24"/>
                <w:szCs w:val="24"/>
              </w:rPr>
              <w:t>学生应用</w:t>
            </w:r>
          </w:p>
          <w:p>
            <w:pPr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（2</w:t>
            </w:r>
            <w:r>
              <w:rPr>
                <w:rFonts w:ascii="Times New Roman" w:hAnsi="Times New Roman" w:eastAsia="仿宋"/>
                <w:sz w:val="24"/>
                <w:szCs w:val="24"/>
              </w:rPr>
              <w:t>0分）</w:t>
            </w:r>
          </w:p>
        </w:tc>
        <w:tc>
          <w:tcPr>
            <w:tcW w:w="6221" w:type="dxa"/>
            <w:vAlign w:val="center"/>
          </w:tcPr>
          <w:p>
            <w:pPr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每个试点教师的参与学生不少于一个班级，每个学生至少完成1次线上作业及开放作业提交操作。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277" w:type="dxa"/>
            <w:vMerge w:val="restart"/>
            <w:vAlign w:val="center"/>
          </w:tcPr>
          <w:p>
            <w:pPr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ascii="Times New Roman" w:hAnsi="Times New Roman" w:eastAsia="仿宋"/>
                <w:sz w:val="24"/>
                <w:szCs w:val="24"/>
              </w:rPr>
              <w:t>示范推广（</w:t>
            </w:r>
            <w:r>
              <w:rPr>
                <w:rFonts w:hint="eastAsia" w:ascii="Times New Roman" w:hAnsi="Times New Roman" w:eastAsia="仿宋"/>
                <w:sz w:val="24"/>
                <w:szCs w:val="24"/>
              </w:rPr>
              <w:t>1</w:t>
            </w:r>
            <w:r>
              <w:rPr>
                <w:rFonts w:ascii="Times New Roman" w:hAnsi="Times New Roman" w:eastAsia="仿宋"/>
                <w:sz w:val="24"/>
                <w:szCs w:val="24"/>
              </w:rPr>
              <w:t>0分）</w:t>
            </w:r>
          </w:p>
        </w:tc>
        <w:tc>
          <w:tcPr>
            <w:tcW w:w="1417" w:type="dxa"/>
            <w:vAlign w:val="center"/>
          </w:tcPr>
          <w:p>
            <w:pPr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ascii="Times New Roman" w:hAnsi="Times New Roman" w:eastAsia="仿宋"/>
                <w:sz w:val="24"/>
                <w:szCs w:val="24"/>
              </w:rPr>
              <w:t>应用示范</w:t>
            </w:r>
          </w:p>
          <w:p>
            <w:pPr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ascii="Times New Roman" w:hAnsi="Times New Roman" w:eastAsia="仿宋"/>
                <w:sz w:val="24"/>
                <w:szCs w:val="24"/>
              </w:rPr>
              <w:t>（</w:t>
            </w:r>
            <w:r>
              <w:rPr>
                <w:rFonts w:hint="eastAsia" w:ascii="Times New Roman" w:hAnsi="Times New Roman" w:eastAsia="仿宋"/>
                <w:sz w:val="24"/>
                <w:szCs w:val="24"/>
              </w:rPr>
              <w:t>5分</w:t>
            </w:r>
            <w:r>
              <w:rPr>
                <w:rFonts w:ascii="Times New Roman" w:hAnsi="Times New Roman" w:eastAsia="仿宋"/>
                <w:sz w:val="24"/>
                <w:szCs w:val="24"/>
              </w:rPr>
              <w:t>）</w:t>
            </w:r>
          </w:p>
        </w:tc>
        <w:tc>
          <w:tcPr>
            <w:tcW w:w="6221" w:type="dxa"/>
            <w:vAlign w:val="center"/>
          </w:tcPr>
          <w:p>
            <w:pPr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ascii="Times New Roman" w:hAnsi="Times New Roman" w:eastAsia="仿宋"/>
                <w:sz w:val="24"/>
                <w:szCs w:val="24"/>
              </w:rPr>
              <w:t>通过培训、研修等方式，提升对“</w:t>
            </w:r>
            <w:r>
              <w:rPr>
                <w:rFonts w:hint="eastAsia" w:ascii="Times New Roman" w:hAnsi="Times New Roman" w:eastAsia="仿宋"/>
                <w:sz w:val="24"/>
                <w:szCs w:val="24"/>
              </w:rPr>
              <w:t>易加双减</w:t>
            </w:r>
            <w:r>
              <w:rPr>
                <w:rFonts w:ascii="Times New Roman" w:hAnsi="Times New Roman" w:eastAsia="仿宋"/>
                <w:sz w:val="24"/>
                <w:szCs w:val="24"/>
              </w:rPr>
              <w:t>”的功能认识与应用理解，</w:t>
            </w:r>
            <w:r>
              <w:rPr>
                <w:rFonts w:hint="eastAsia" w:ascii="Times New Roman" w:hAnsi="Times New Roman" w:eastAsia="仿宋"/>
                <w:sz w:val="24"/>
                <w:szCs w:val="24"/>
              </w:rPr>
              <w:t>尤其是在平台绩效上，</w:t>
            </w:r>
            <w:r>
              <w:rPr>
                <w:rFonts w:ascii="Times New Roman" w:hAnsi="Times New Roman" w:eastAsia="仿宋"/>
                <w:sz w:val="24"/>
                <w:szCs w:val="24"/>
              </w:rPr>
              <w:t>提升教师应用能力</w:t>
            </w:r>
            <w:r>
              <w:rPr>
                <w:rFonts w:hint="eastAsia" w:ascii="Times New Roman" w:hAnsi="Times New Roman" w:eastAsia="仿宋"/>
                <w:sz w:val="24"/>
                <w:szCs w:val="24"/>
              </w:rPr>
              <w:t>，增强用户使用</w:t>
            </w:r>
            <w:r>
              <w:rPr>
                <w:rFonts w:ascii="Times New Roman" w:hAnsi="Times New Roman" w:eastAsia="仿宋"/>
                <w:sz w:val="24"/>
                <w:szCs w:val="24"/>
              </w:rPr>
              <w:t>信</w:t>
            </w:r>
            <w:r>
              <w:rPr>
                <w:rFonts w:hint="eastAsia" w:ascii="Times New Roman" w:hAnsi="Times New Roman" w:eastAsia="仿宋"/>
                <w:sz w:val="24"/>
                <w:szCs w:val="24"/>
              </w:rPr>
              <w:t>心</w:t>
            </w:r>
            <w:r>
              <w:rPr>
                <w:rFonts w:ascii="Times New Roman" w:hAnsi="Times New Roman" w:eastAsia="仿宋"/>
                <w:sz w:val="24"/>
                <w:szCs w:val="24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0" w:hRule="atLeast"/>
        </w:trPr>
        <w:tc>
          <w:tcPr>
            <w:tcW w:w="1277" w:type="dxa"/>
            <w:vMerge w:val="continue"/>
            <w:vAlign w:val="center"/>
          </w:tcPr>
          <w:p>
            <w:pPr>
              <w:rPr>
                <w:rFonts w:ascii="Times New Roman" w:hAnsi="Times New Roman" w:eastAsia="仿宋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>
            <w:pPr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ascii="Times New Roman" w:hAnsi="Times New Roman" w:eastAsia="仿宋"/>
                <w:sz w:val="24"/>
                <w:szCs w:val="24"/>
              </w:rPr>
              <w:t>宣传推广</w:t>
            </w:r>
          </w:p>
          <w:p>
            <w:pPr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ascii="Times New Roman" w:hAnsi="Times New Roman" w:eastAsia="仿宋"/>
                <w:sz w:val="24"/>
                <w:szCs w:val="24"/>
              </w:rPr>
              <w:t>（</w:t>
            </w:r>
            <w:r>
              <w:rPr>
                <w:rFonts w:hint="eastAsia" w:ascii="Times New Roman" w:hAnsi="Times New Roman" w:eastAsia="仿宋"/>
                <w:sz w:val="24"/>
                <w:szCs w:val="24"/>
              </w:rPr>
              <w:t>5分</w:t>
            </w:r>
            <w:r>
              <w:rPr>
                <w:rFonts w:ascii="Times New Roman" w:hAnsi="Times New Roman" w:eastAsia="仿宋"/>
                <w:sz w:val="24"/>
                <w:szCs w:val="24"/>
              </w:rPr>
              <w:t>）</w:t>
            </w:r>
          </w:p>
        </w:tc>
        <w:tc>
          <w:tcPr>
            <w:tcW w:w="6221" w:type="dxa"/>
            <w:vAlign w:val="center"/>
          </w:tcPr>
          <w:p>
            <w:pPr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ascii="Times New Roman" w:hAnsi="Times New Roman" w:eastAsia="仿宋"/>
                <w:sz w:val="24"/>
                <w:szCs w:val="24"/>
              </w:rPr>
              <w:t>开展</w:t>
            </w:r>
            <w:r>
              <w:rPr>
                <w:rFonts w:hint="eastAsia" w:ascii="Times New Roman" w:hAnsi="Times New Roman" w:eastAsia="仿宋"/>
                <w:sz w:val="24"/>
                <w:szCs w:val="24"/>
              </w:rPr>
              <w:t>基于平台绩效的</w:t>
            </w:r>
            <w:r>
              <w:rPr>
                <w:rFonts w:ascii="Times New Roman" w:hAnsi="Times New Roman" w:eastAsia="仿宋"/>
                <w:sz w:val="24"/>
                <w:szCs w:val="24"/>
              </w:rPr>
              <w:t>应用普及活动，进行应用典型经验宣传和推广，发挥引领、示范作用。</w:t>
            </w:r>
          </w:p>
        </w:tc>
      </w:tr>
    </w:tbl>
    <w:p/>
    <w:p>
      <w:pPr>
        <w:widowControl/>
        <w:rPr>
          <w:rFonts w:ascii="仿宋" w:hAnsi="仿宋" w:eastAsia="仿宋"/>
          <w:b/>
          <w:bCs/>
          <w:kern w:val="44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br w:type="page"/>
      </w:r>
    </w:p>
    <w:p>
      <w:pPr>
        <w:spacing w:line="360" w:lineRule="auto"/>
        <w:rPr>
          <w:rFonts w:ascii="仿宋" w:hAnsi="仿宋" w:eastAsia="仿宋"/>
          <w:sz w:val="32"/>
          <w:szCs w:val="32"/>
        </w:rPr>
      </w:pPr>
    </w:p>
    <w:sectPr>
      <w:footerReference r:id="rId3" w:type="default"/>
      <w:pgSz w:w="11906" w:h="16838"/>
      <w:pgMar w:top="1440" w:right="1800" w:bottom="1440" w:left="1800" w:header="851" w:footer="851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Segoe UI Emoji">
    <w:panose1 w:val="020B0502040204020203"/>
    <w:charset w:val="00"/>
    <w:family w:val="swiss"/>
    <w:pitch w:val="default"/>
    <w:sig w:usb0="00000001" w:usb1="02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780372363"/>
    </w:sdtPr>
    <w:sdtContent>
      <w:sdt>
        <w:sdtPr>
          <w:id w:val="-1705238520"/>
        </w:sdtPr>
        <w:sdtContent>
          <w:p>
            <w:pPr>
              <w:pStyle w:val="5"/>
              <w:jc w:val="right"/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10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10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>
    <w:pPr>
      <w:pStyle w:val="5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DU2YjVjZDI3YTk0NmYyN2ZhNTNmODJiM2Q1NWQxMDMifQ=="/>
  </w:docVars>
  <w:rsids>
    <w:rsidRoot w:val="00707B4D"/>
    <w:rsid w:val="000225B2"/>
    <w:rsid w:val="00024607"/>
    <w:rsid w:val="00053F88"/>
    <w:rsid w:val="000739DA"/>
    <w:rsid w:val="00085245"/>
    <w:rsid w:val="00092325"/>
    <w:rsid w:val="000E40C2"/>
    <w:rsid w:val="000E487D"/>
    <w:rsid w:val="000F00E0"/>
    <w:rsid w:val="000F762A"/>
    <w:rsid w:val="00120DC8"/>
    <w:rsid w:val="00122D71"/>
    <w:rsid w:val="00174640"/>
    <w:rsid w:val="00174D66"/>
    <w:rsid w:val="001766E5"/>
    <w:rsid w:val="001B0867"/>
    <w:rsid w:val="001B126D"/>
    <w:rsid w:val="001B5F6F"/>
    <w:rsid w:val="001E3B6C"/>
    <w:rsid w:val="00224346"/>
    <w:rsid w:val="0029006B"/>
    <w:rsid w:val="002A7C7B"/>
    <w:rsid w:val="002F2AAE"/>
    <w:rsid w:val="0030049D"/>
    <w:rsid w:val="0030404F"/>
    <w:rsid w:val="00313077"/>
    <w:rsid w:val="003149E7"/>
    <w:rsid w:val="0033298D"/>
    <w:rsid w:val="00332DF8"/>
    <w:rsid w:val="00336203"/>
    <w:rsid w:val="003470F0"/>
    <w:rsid w:val="00363D29"/>
    <w:rsid w:val="003C5C4B"/>
    <w:rsid w:val="003C5ED7"/>
    <w:rsid w:val="00404FBB"/>
    <w:rsid w:val="0042617A"/>
    <w:rsid w:val="0044458D"/>
    <w:rsid w:val="004716ED"/>
    <w:rsid w:val="00474CD8"/>
    <w:rsid w:val="00477930"/>
    <w:rsid w:val="00482D05"/>
    <w:rsid w:val="0049419E"/>
    <w:rsid w:val="004A1D22"/>
    <w:rsid w:val="004A77E9"/>
    <w:rsid w:val="004B343C"/>
    <w:rsid w:val="004D5DA8"/>
    <w:rsid w:val="004F5E42"/>
    <w:rsid w:val="00502F05"/>
    <w:rsid w:val="00503B5E"/>
    <w:rsid w:val="00523A88"/>
    <w:rsid w:val="00561B9A"/>
    <w:rsid w:val="005B2940"/>
    <w:rsid w:val="005B42E0"/>
    <w:rsid w:val="005D46EF"/>
    <w:rsid w:val="005E5925"/>
    <w:rsid w:val="00604F6D"/>
    <w:rsid w:val="00630948"/>
    <w:rsid w:val="006414A1"/>
    <w:rsid w:val="006540EB"/>
    <w:rsid w:val="006631B9"/>
    <w:rsid w:val="006668C2"/>
    <w:rsid w:val="00671A38"/>
    <w:rsid w:val="00692E66"/>
    <w:rsid w:val="0069650E"/>
    <w:rsid w:val="006A5421"/>
    <w:rsid w:val="006B3C4F"/>
    <w:rsid w:val="006C492B"/>
    <w:rsid w:val="006D4C73"/>
    <w:rsid w:val="00707B4D"/>
    <w:rsid w:val="00744F35"/>
    <w:rsid w:val="0074579C"/>
    <w:rsid w:val="00762E7F"/>
    <w:rsid w:val="00763483"/>
    <w:rsid w:val="007724E5"/>
    <w:rsid w:val="00777446"/>
    <w:rsid w:val="00786271"/>
    <w:rsid w:val="007C453F"/>
    <w:rsid w:val="007F0A02"/>
    <w:rsid w:val="007F2B8A"/>
    <w:rsid w:val="00804429"/>
    <w:rsid w:val="00807DFE"/>
    <w:rsid w:val="008208A6"/>
    <w:rsid w:val="00886740"/>
    <w:rsid w:val="008A7EE7"/>
    <w:rsid w:val="008C0FFD"/>
    <w:rsid w:val="008C22C8"/>
    <w:rsid w:val="008D6D6E"/>
    <w:rsid w:val="008E715B"/>
    <w:rsid w:val="009322AF"/>
    <w:rsid w:val="00943D44"/>
    <w:rsid w:val="00960DC5"/>
    <w:rsid w:val="009700E3"/>
    <w:rsid w:val="009A3046"/>
    <w:rsid w:val="009B5508"/>
    <w:rsid w:val="009C0F52"/>
    <w:rsid w:val="009C2D69"/>
    <w:rsid w:val="009D66BC"/>
    <w:rsid w:val="009E09DA"/>
    <w:rsid w:val="009F2DF9"/>
    <w:rsid w:val="00A12D8F"/>
    <w:rsid w:val="00A2079A"/>
    <w:rsid w:val="00A216C2"/>
    <w:rsid w:val="00A23A22"/>
    <w:rsid w:val="00A54929"/>
    <w:rsid w:val="00A63D16"/>
    <w:rsid w:val="00A91A1B"/>
    <w:rsid w:val="00AC24CA"/>
    <w:rsid w:val="00AC6C98"/>
    <w:rsid w:val="00AE0014"/>
    <w:rsid w:val="00B34782"/>
    <w:rsid w:val="00B36BD6"/>
    <w:rsid w:val="00B51146"/>
    <w:rsid w:val="00B51C7F"/>
    <w:rsid w:val="00B61AB8"/>
    <w:rsid w:val="00B91886"/>
    <w:rsid w:val="00B91CA2"/>
    <w:rsid w:val="00BC0B5A"/>
    <w:rsid w:val="00BF47C5"/>
    <w:rsid w:val="00C00D16"/>
    <w:rsid w:val="00C1319E"/>
    <w:rsid w:val="00C2103D"/>
    <w:rsid w:val="00C44703"/>
    <w:rsid w:val="00C77117"/>
    <w:rsid w:val="00CB4303"/>
    <w:rsid w:val="00CB7723"/>
    <w:rsid w:val="00CC5BC7"/>
    <w:rsid w:val="00CD5E1F"/>
    <w:rsid w:val="00CE10E5"/>
    <w:rsid w:val="00CF0432"/>
    <w:rsid w:val="00CF34D9"/>
    <w:rsid w:val="00CF4F10"/>
    <w:rsid w:val="00D173DA"/>
    <w:rsid w:val="00D25DFE"/>
    <w:rsid w:val="00D60A30"/>
    <w:rsid w:val="00D9117C"/>
    <w:rsid w:val="00DB46C7"/>
    <w:rsid w:val="00DB6330"/>
    <w:rsid w:val="00DC170B"/>
    <w:rsid w:val="00DC3945"/>
    <w:rsid w:val="00DC7C91"/>
    <w:rsid w:val="00DD41A5"/>
    <w:rsid w:val="00DE25B1"/>
    <w:rsid w:val="00DE6999"/>
    <w:rsid w:val="00E13A1F"/>
    <w:rsid w:val="00E14BBF"/>
    <w:rsid w:val="00E335AD"/>
    <w:rsid w:val="00E61010"/>
    <w:rsid w:val="00E6419F"/>
    <w:rsid w:val="00E9704C"/>
    <w:rsid w:val="00EA4845"/>
    <w:rsid w:val="00EA5106"/>
    <w:rsid w:val="00ED49F6"/>
    <w:rsid w:val="00F15284"/>
    <w:rsid w:val="00F23118"/>
    <w:rsid w:val="00F53061"/>
    <w:rsid w:val="00F95BE9"/>
    <w:rsid w:val="00FB1AB0"/>
    <w:rsid w:val="00FB1E40"/>
    <w:rsid w:val="00FC00D0"/>
    <w:rsid w:val="02776C87"/>
    <w:rsid w:val="078563B9"/>
    <w:rsid w:val="0A287A2F"/>
    <w:rsid w:val="0A51340D"/>
    <w:rsid w:val="0D5974D5"/>
    <w:rsid w:val="0F2513E5"/>
    <w:rsid w:val="11376EDB"/>
    <w:rsid w:val="14141FA6"/>
    <w:rsid w:val="142437F9"/>
    <w:rsid w:val="143551CF"/>
    <w:rsid w:val="15182C07"/>
    <w:rsid w:val="157069D0"/>
    <w:rsid w:val="162B44C6"/>
    <w:rsid w:val="162D4D4B"/>
    <w:rsid w:val="18530055"/>
    <w:rsid w:val="191E6582"/>
    <w:rsid w:val="1A293A7B"/>
    <w:rsid w:val="1E076A53"/>
    <w:rsid w:val="21E03854"/>
    <w:rsid w:val="22070643"/>
    <w:rsid w:val="226002F0"/>
    <w:rsid w:val="22E40026"/>
    <w:rsid w:val="235A05D2"/>
    <w:rsid w:val="26236654"/>
    <w:rsid w:val="26A550AE"/>
    <w:rsid w:val="27B30BFC"/>
    <w:rsid w:val="2B5841C1"/>
    <w:rsid w:val="2BF9273F"/>
    <w:rsid w:val="2EDA6C9B"/>
    <w:rsid w:val="31BC4D7D"/>
    <w:rsid w:val="34431478"/>
    <w:rsid w:val="3C97663C"/>
    <w:rsid w:val="3E02053A"/>
    <w:rsid w:val="40D043A1"/>
    <w:rsid w:val="412D3F48"/>
    <w:rsid w:val="42433857"/>
    <w:rsid w:val="457479F1"/>
    <w:rsid w:val="49FC6C9E"/>
    <w:rsid w:val="4A541B9F"/>
    <w:rsid w:val="4B1B5ADB"/>
    <w:rsid w:val="4F0A4F22"/>
    <w:rsid w:val="53F561A1"/>
    <w:rsid w:val="548807BB"/>
    <w:rsid w:val="558A0B6B"/>
    <w:rsid w:val="57A87799"/>
    <w:rsid w:val="595606C9"/>
    <w:rsid w:val="59A246D5"/>
    <w:rsid w:val="5AB20948"/>
    <w:rsid w:val="617320A8"/>
    <w:rsid w:val="61EE3594"/>
    <w:rsid w:val="659A6BA8"/>
    <w:rsid w:val="65E9368C"/>
    <w:rsid w:val="6663343E"/>
    <w:rsid w:val="689E78D7"/>
    <w:rsid w:val="693F13D9"/>
    <w:rsid w:val="6A14308E"/>
    <w:rsid w:val="6B947947"/>
    <w:rsid w:val="6CB66BC5"/>
    <w:rsid w:val="6D5238C5"/>
    <w:rsid w:val="76F56CDC"/>
    <w:rsid w:val="79B55907"/>
    <w:rsid w:val="7BE350CF"/>
    <w:rsid w:val="7DBA173E"/>
    <w:rsid w:val="7F874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line="578" w:lineRule="auto"/>
      <w:outlineLvl w:val="0"/>
    </w:pPr>
    <w:rPr>
      <w:b/>
      <w:bCs/>
      <w:kern w:val="44"/>
      <w:sz w:val="44"/>
      <w:szCs w:val="44"/>
    </w:rPr>
  </w:style>
  <w:style w:type="character" w:default="1" w:styleId="11">
    <w:name w:val="Default Paragraph Font"/>
    <w:semiHidden/>
    <w:unhideWhenUsed/>
    <w:uiPriority w:val="1"/>
  </w:style>
  <w:style w:type="table" w:default="1" w:styleId="9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21"/>
    <w:semiHidden/>
    <w:unhideWhenUsed/>
    <w:qFormat/>
    <w:uiPriority w:val="99"/>
    <w:pPr>
      <w:jc w:val="left"/>
    </w:pPr>
  </w:style>
  <w:style w:type="paragraph" w:styleId="4">
    <w:name w:val="Body Text"/>
    <w:basedOn w:val="1"/>
    <w:qFormat/>
    <w:uiPriority w:val="1"/>
    <w:pPr>
      <w:ind w:left="220"/>
    </w:pPr>
    <w:rPr>
      <w:rFonts w:ascii="仿宋" w:hAnsi="仿宋" w:eastAsia="仿宋" w:cs="仿宋"/>
      <w:sz w:val="28"/>
      <w:szCs w:val="28"/>
      <w:lang w:val="zh-CN" w:bidi="zh-CN"/>
    </w:rPr>
  </w:style>
  <w:style w:type="paragraph" w:styleId="5">
    <w:name w:val="footer"/>
    <w:basedOn w:val="1"/>
    <w:link w:val="1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semiHidden/>
    <w:unhideWhenUsed/>
    <w:qFormat/>
    <w:uiPriority w:val="99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8">
    <w:name w:val="annotation subject"/>
    <w:basedOn w:val="3"/>
    <w:next w:val="3"/>
    <w:link w:val="22"/>
    <w:semiHidden/>
    <w:unhideWhenUsed/>
    <w:qFormat/>
    <w:uiPriority w:val="99"/>
    <w:rPr>
      <w:b/>
      <w:bCs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Hyperlink"/>
    <w:basedOn w:val="11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13">
    <w:name w:val="annotation reference"/>
    <w:basedOn w:val="11"/>
    <w:semiHidden/>
    <w:unhideWhenUsed/>
    <w:qFormat/>
    <w:uiPriority w:val="99"/>
    <w:rPr>
      <w:sz w:val="21"/>
      <w:szCs w:val="21"/>
    </w:rPr>
  </w:style>
  <w:style w:type="paragraph" w:styleId="14">
    <w:name w:val="List Paragraph"/>
    <w:basedOn w:val="1"/>
    <w:qFormat/>
    <w:uiPriority w:val="34"/>
    <w:pPr>
      <w:ind w:firstLine="420" w:firstLineChars="200"/>
    </w:pPr>
  </w:style>
  <w:style w:type="character" w:customStyle="1" w:styleId="15">
    <w:name w:val="标题 1 字符"/>
    <w:basedOn w:val="11"/>
    <w:link w:val="2"/>
    <w:qFormat/>
    <w:uiPriority w:val="9"/>
    <w:rPr>
      <w:b/>
      <w:bCs/>
      <w:kern w:val="44"/>
      <w:sz w:val="44"/>
      <w:szCs w:val="44"/>
    </w:rPr>
  </w:style>
  <w:style w:type="character" w:customStyle="1" w:styleId="16">
    <w:name w:val="页眉 字符"/>
    <w:basedOn w:val="11"/>
    <w:link w:val="6"/>
    <w:qFormat/>
    <w:uiPriority w:val="99"/>
    <w:rPr>
      <w:sz w:val="18"/>
      <w:szCs w:val="18"/>
    </w:rPr>
  </w:style>
  <w:style w:type="character" w:customStyle="1" w:styleId="17">
    <w:name w:val="页脚 字符"/>
    <w:basedOn w:val="11"/>
    <w:link w:val="5"/>
    <w:qFormat/>
    <w:uiPriority w:val="99"/>
    <w:rPr>
      <w:sz w:val="18"/>
      <w:szCs w:val="18"/>
    </w:rPr>
  </w:style>
  <w:style w:type="paragraph" w:customStyle="1" w:styleId="18">
    <w:name w:val="Table Paragraph"/>
    <w:basedOn w:val="1"/>
    <w:qFormat/>
    <w:uiPriority w:val="1"/>
    <w:rPr>
      <w:rFonts w:ascii="仿宋" w:hAnsi="仿宋" w:eastAsia="仿宋" w:cs="仿宋"/>
      <w:lang w:val="zh-CN" w:bidi="zh-CN"/>
    </w:rPr>
  </w:style>
  <w:style w:type="character" w:customStyle="1" w:styleId="19">
    <w:name w:val="未处理的提及1"/>
    <w:basedOn w:val="11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20">
    <w:name w:val="修订1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customStyle="1" w:styleId="21">
    <w:name w:val="批注文字 字符"/>
    <w:basedOn w:val="11"/>
    <w:link w:val="3"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2">
    <w:name w:val="批注主题 字符"/>
    <w:basedOn w:val="21"/>
    <w:link w:val="8"/>
    <w:semiHidden/>
    <w:qFormat/>
    <w:uiPriority w:val="99"/>
    <w:rPr>
      <w:rFonts w:asciiTheme="minorHAnsi" w:hAnsiTheme="minorHAnsi" w:eastAsiaTheme="minorEastAsia" w:cstheme="minorBidi"/>
      <w:b/>
      <w:bCs/>
      <w:kern w:val="2"/>
      <w:sz w:val="21"/>
      <w:szCs w:val="22"/>
    </w:rPr>
  </w:style>
  <w:style w:type="paragraph" w:customStyle="1" w:styleId="23">
    <w:name w:val="Revision"/>
    <w:hidden/>
    <w:unhideWhenUsed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D6A0FE-EDE5-404A-90F2-B14DAF7AD39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苏州工业园区</Company>
  <Pages>8</Pages>
  <Words>469</Words>
  <Characters>2677</Characters>
  <Lines>22</Lines>
  <Paragraphs>6</Paragraphs>
  <TotalTime>23</TotalTime>
  <ScaleCrop>false</ScaleCrop>
  <LinksUpToDate>false</LinksUpToDate>
  <CharactersWithSpaces>3140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2023-11-13T07:27:00Z</dcterms:created>
  <dc:creator>ds</dc:creator>
  <cp:lastModifiedBy>武仔</cp:lastModifiedBy>
  <dcterms:modified xsi:type="dcterms:W3CDTF">2023-12-06T06:57:42Z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6B60E933B36349E08DE941CD674809D0_13</vt:lpwstr>
  </property>
</Properties>
</file>