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C203"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附件：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星海教育集团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科研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协作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共同体“课题进课堂”研讨活动安排</w:t>
      </w:r>
    </w:p>
    <w:p w14:paraId="7F8FF684"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一、活动时间</w:t>
      </w:r>
    </w:p>
    <w:p w14:paraId="69C8857B"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，13: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16:30</w:t>
      </w:r>
    </w:p>
    <w:p w14:paraId="5054158E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二、具体安排</w:t>
      </w:r>
    </w:p>
    <w:tbl>
      <w:tblPr>
        <w:tblStyle w:val="4"/>
        <w:tblW w:w="15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023"/>
        <w:gridCol w:w="3068"/>
        <w:gridCol w:w="2918"/>
        <w:gridCol w:w="2048"/>
        <w:gridCol w:w="1214"/>
        <w:gridCol w:w="1254"/>
        <w:gridCol w:w="1226"/>
        <w:gridCol w:w="1226"/>
      </w:tblGrid>
      <w:tr w14:paraId="5EC3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vAlign w:val="center"/>
          </w:tcPr>
          <w:p w14:paraId="377A32BA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023" w:type="dxa"/>
            <w:vAlign w:val="center"/>
          </w:tcPr>
          <w:p w14:paraId="4E9E53C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068" w:type="dxa"/>
            <w:vAlign w:val="center"/>
          </w:tcPr>
          <w:p w14:paraId="1D0838A1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2918" w:type="dxa"/>
            <w:vAlign w:val="center"/>
          </w:tcPr>
          <w:p w14:paraId="59F194AC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课题类别</w:t>
            </w:r>
          </w:p>
        </w:tc>
        <w:tc>
          <w:tcPr>
            <w:tcW w:w="2048" w:type="dxa"/>
            <w:vAlign w:val="center"/>
          </w:tcPr>
          <w:p w14:paraId="17E37F80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上课课题</w:t>
            </w:r>
          </w:p>
        </w:tc>
        <w:tc>
          <w:tcPr>
            <w:tcW w:w="1214" w:type="dxa"/>
            <w:vAlign w:val="center"/>
          </w:tcPr>
          <w:p w14:paraId="2F00F298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执教老师</w:t>
            </w:r>
          </w:p>
        </w:tc>
        <w:tc>
          <w:tcPr>
            <w:tcW w:w="1254" w:type="dxa"/>
            <w:vAlign w:val="center"/>
          </w:tcPr>
          <w:p w14:paraId="0065EEE3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上课班级</w:t>
            </w:r>
          </w:p>
        </w:tc>
        <w:tc>
          <w:tcPr>
            <w:tcW w:w="1226" w:type="dxa"/>
            <w:vAlign w:val="center"/>
          </w:tcPr>
          <w:p w14:paraId="5CAE572C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上课地点</w:t>
            </w:r>
          </w:p>
        </w:tc>
        <w:tc>
          <w:tcPr>
            <w:tcW w:w="1226" w:type="dxa"/>
            <w:vAlign w:val="center"/>
          </w:tcPr>
          <w:p w14:paraId="187110A2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场地主持</w:t>
            </w:r>
          </w:p>
        </w:tc>
      </w:tr>
      <w:tr w14:paraId="516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1209A4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13:00-13:40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5BBD7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星海小学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48566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教智融合背景下精准实施珠心算课程的策略研究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A87F7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苏州市教育科学“十四五”规划2021年度青年专项课题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51046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三位数乘一位数（1）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DFC2E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曹 蕾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F4C62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  <w:t>星海学生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22CBC6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实验楼一楼示范教室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223115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吴伟</w:t>
            </w:r>
          </w:p>
        </w:tc>
      </w:tr>
      <w:tr w14:paraId="4D31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FFFFFF" w:themeFill="background1"/>
            <w:vAlign w:val="center"/>
          </w:tcPr>
          <w:p w14:paraId="1D6E75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13:55-14:35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CF513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星港学校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5B605E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融合“线上线下”教学的小学语文整本书阅读的实践探究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90017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苏州市教育科学“十四五”规划2021年度青年专项课题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687EB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快乐读书吧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DE142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潘 俐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92831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五（4）</w:t>
            </w:r>
          </w:p>
        </w:tc>
        <w:tc>
          <w:tcPr>
            <w:tcW w:w="1226" w:type="dxa"/>
            <w:vMerge w:val="continue"/>
            <w:shd w:val="clear" w:color="auto" w:fill="FFFFFF" w:themeFill="background1"/>
            <w:vAlign w:val="center"/>
          </w:tcPr>
          <w:p w14:paraId="626B40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26" w:type="dxa"/>
            <w:vMerge w:val="continue"/>
            <w:shd w:val="clear" w:color="auto" w:fill="FFFFFF" w:themeFill="background1"/>
            <w:vAlign w:val="center"/>
          </w:tcPr>
          <w:p w14:paraId="2857A8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F4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0B1AFA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13:00-13:40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F4909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胜浦实小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68AC71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大概念统整下小学语文单元任务群教学的实践研究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FF670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江苏省教育科学“十四五”规划2023年度重点课题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A7816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敕勒歌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8D28A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张雪芬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E015C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二（3）</w:t>
            </w:r>
          </w:p>
        </w:tc>
        <w:tc>
          <w:tcPr>
            <w:tcW w:w="1226" w:type="dxa"/>
            <w:vMerge w:val="restart"/>
            <w:shd w:val="clear" w:color="auto" w:fill="FFFFFF" w:themeFill="background1"/>
            <w:vAlign w:val="center"/>
          </w:tcPr>
          <w:p w14:paraId="1ECF8C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实验楼二楼科学教室</w:t>
            </w:r>
          </w:p>
        </w:tc>
        <w:tc>
          <w:tcPr>
            <w:tcW w:w="1226" w:type="dxa"/>
            <w:vMerge w:val="restart"/>
            <w:shd w:val="clear" w:color="auto" w:fill="FFFFFF" w:themeFill="background1"/>
            <w:vAlign w:val="center"/>
          </w:tcPr>
          <w:p w14:paraId="2B9F15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毛密娟</w:t>
            </w:r>
          </w:p>
        </w:tc>
      </w:tr>
      <w:tr w14:paraId="131F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FFFFFF" w:themeFill="background1"/>
            <w:vAlign w:val="center"/>
          </w:tcPr>
          <w:p w14:paraId="7BAAA7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13:55-14:35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C596A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星浦小学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325F34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红色文化融入小学语文课程的开发与实践研究</w:t>
            </w:r>
          </w:p>
        </w:tc>
        <w:tc>
          <w:tcPr>
            <w:tcW w:w="2918" w:type="dxa"/>
            <w:shd w:val="clear" w:color="auto" w:fill="FFFFFF" w:themeFill="background1"/>
            <w:vAlign w:val="center"/>
          </w:tcPr>
          <w:p w14:paraId="294ADB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苏州市教育科学“十四五”规划2023年度课题</w:t>
            </w:r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14:paraId="7C0CA2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为中华之崛起而读书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02D545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牛 迪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669EF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四（4）</w:t>
            </w:r>
          </w:p>
        </w:tc>
        <w:tc>
          <w:tcPr>
            <w:tcW w:w="1226" w:type="dxa"/>
            <w:vMerge w:val="continue"/>
            <w:shd w:val="clear" w:color="auto" w:fill="FFFFFF" w:themeFill="background1"/>
            <w:vAlign w:val="center"/>
          </w:tcPr>
          <w:p w14:paraId="591AF8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26" w:type="dxa"/>
            <w:vMerge w:val="continue"/>
            <w:shd w:val="clear" w:color="auto" w:fill="FFFFFF" w:themeFill="background1"/>
            <w:vAlign w:val="center"/>
          </w:tcPr>
          <w:p w14:paraId="620716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8FB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59A5D3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13:00-13:45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F80D5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星海初中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2C270D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以学科核心素养为导向的初中物理微实验情境教学的实践研究</w:t>
            </w:r>
          </w:p>
        </w:tc>
        <w:tc>
          <w:tcPr>
            <w:tcW w:w="2918" w:type="dxa"/>
            <w:shd w:val="clear" w:color="auto" w:fill="FFFFFF" w:themeFill="background1"/>
            <w:vAlign w:val="center"/>
          </w:tcPr>
          <w:p w14:paraId="7A7578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苏州市教育科学“十四五”规划2021年度课题</w:t>
            </w:r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14:paraId="47A672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微境启思、深教促学——光学复习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397253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 凯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21470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八（4）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03BC18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东阶梯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41FFAC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杨梅花</w:t>
            </w:r>
          </w:p>
        </w:tc>
      </w:tr>
      <w:tr w14:paraId="7BEB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208495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13:55-14:40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25186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星浦中学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4B8CED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单元整体视角下初中英语阅读“教学评”一体化的实践研究</w:t>
            </w:r>
          </w:p>
        </w:tc>
        <w:tc>
          <w:tcPr>
            <w:tcW w:w="2918" w:type="dxa"/>
            <w:shd w:val="clear" w:color="auto" w:fill="FFFFFF" w:themeFill="background1"/>
            <w:vAlign w:val="center"/>
          </w:tcPr>
          <w:p w14:paraId="222BF6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苏州市教育科学“十四五”规划2023年度青年专项重点课题</w:t>
            </w:r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14:paraId="50CE7A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0"/>
                <w:szCs w:val="20"/>
                <w:lang w:val="en-US" w:eastAsia="zh-CN" w:bidi="ar"/>
              </w:rPr>
              <w:t>8A Unit 4 Do it yourself主题拓展阅读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C317D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黄怡嫣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21FD1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八（11）</w:t>
            </w:r>
          </w:p>
        </w:tc>
        <w:tc>
          <w:tcPr>
            <w:tcW w:w="1226" w:type="dxa"/>
            <w:vMerge w:val="continue"/>
            <w:shd w:val="clear" w:color="auto" w:fill="auto"/>
            <w:vAlign w:val="center"/>
          </w:tcPr>
          <w:p w14:paraId="41C164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26" w:type="dxa"/>
            <w:vMerge w:val="continue"/>
            <w:shd w:val="clear" w:color="auto" w:fill="auto"/>
            <w:vAlign w:val="center"/>
          </w:tcPr>
          <w:p w14:paraId="74DAE2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EC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16314D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14:45-15:10</w:t>
            </w:r>
          </w:p>
        </w:tc>
        <w:tc>
          <w:tcPr>
            <w:tcW w:w="11525" w:type="dxa"/>
            <w:gridSpan w:val="6"/>
            <w:shd w:val="clear" w:color="auto" w:fill="auto"/>
            <w:vAlign w:val="center"/>
          </w:tcPr>
          <w:p w14:paraId="6497BE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评课议课（三个场地同时进行）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48B97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同上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AC511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同上</w:t>
            </w:r>
          </w:p>
        </w:tc>
      </w:tr>
      <w:tr w14:paraId="4766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3C8171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15:15-16:30</w:t>
            </w:r>
          </w:p>
        </w:tc>
        <w:tc>
          <w:tcPr>
            <w:tcW w:w="11525" w:type="dxa"/>
            <w:gridSpan w:val="6"/>
            <w:shd w:val="clear" w:color="auto" w:fill="auto"/>
            <w:vAlign w:val="center"/>
          </w:tcPr>
          <w:p w14:paraId="343275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专家指导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6F712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东阶梯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2850D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彭永新</w:t>
            </w:r>
          </w:p>
        </w:tc>
      </w:tr>
    </w:tbl>
    <w:p w14:paraId="1A53AB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三、参加人员</w:t>
      </w:r>
    </w:p>
    <w:p w14:paraId="084DD55E">
      <w:pPr>
        <w:spacing w:line="360" w:lineRule="auto"/>
        <w:contextualSpacing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星海教育集团科研协作共同体学校每学科安排</w:t>
      </w:r>
      <w:r>
        <w:rPr>
          <w:rFonts w:hint="eastAsia" w:ascii="宋体" w:hAnsi="宋体"/>
          <w:sz w:val="24"/>
        </w:rPr>
        <w:t>教师2-3人</w:t>
      </w:r>
      <w:r>
        <w:rPr>
          <w:rFonts w:hint="eastAsia" w:ascii="宋体" w:hAnsi="宋体"/>
          <w:sz w:val="24"/>
          <w:lang w:val="en-US" w:eastAsia="zh-CN"/>
        </w:rPr>
        <w:t>到星港学校</w:t>
      </w:r>
      <w:r>
        <w:rPr>
          <w:rFonts w:hint="eastAsia" w:ascii="宋体" w:hAnsi="宋体"/>
          <w:sz w:val="24"/>
        </w:rPr>
        <w:t>观摩</w:t>
      </w:r>
      <w:r>
        <w:rPr>
          <w:rFonts w:hint="eastAsia" w:ascii="宋体" w:hAnsi="宋体"/>
          <w:sz w:val="24"/>
          <w:lang w:val="en-US" w:eastAsia="zh-CN"/>
        </w:rPr>
        <w:t>课堂教学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参与课题研讨</w:t>
      </w:r>
      <w:r>
        <w:rPr>
          <w:rFonts w:hint="eastAsia" w:ascii="宋体" w:hAnsi="宋体"/>
          <w:sz w:val="24"/>
          <w:lang w:eastAsia="zh-CN"/>
        </w:rPr>
        <w:t>。</w:t>
      </w:r>
    </w:p>
    <w:p w14:paraId="57E3672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四、活动报道</w:t>
      </w:r>
    </w:p>
    <w:p w14:paraId="114385A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研讨活动结束后，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星港学校</w:t>
      </w:r>
      <w:r>
        <w:rPr>
          <w:rFonts w:hint="eastAsia" w:ascii="宋体" w:hAnsi="宋体" w:eastAsia="宋体" w:cs="宋体"/>
          <w:sz w:val="24"/>
          <w:szCs w:val="24"/>
        </w:rPr>
        <w:t>教科室负责人将活动简讯和活动照片打包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发给科研处张久旗主任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TdiZjJkMjYyNjEwOGY0MjYzNWZlZmI4NjljZTUifQ=="/>
  </w:docVars>
  <w:rsids>
    <w:rsidRoot w:val="5B796ABB"/>
    <w:rsid w:val="001C49AC"/>
    <w:rsid w:val="001E0FFB"/>
    <w:rsid w:val="002D34F9"/>
    <w:rsid w:val="002E03CF"/>
    <w:rsid w:val="003F2335"/>
    <w:rsid w:val="006F6311"/>
    <w:rsid w:val="007A67EA"/>
    <w:rsid w:val="00844737"/>
    <w:rsid w:val="0084517C"/>
    <w:rsid w:val="0095717E"/>
    <w:rsid w:val="00FC7816"/>
    <w:rsid w:val="00FD61C1"/>
    <w:rsid w:val="01F42D45"/>
    <w:rsid w:val="048B0646"/>
    <w:rsid w:val="052B11D3"/>
    <w:rsid w:val="07B0770E"/>
    <w:rsid w:val="0DFC2A5A"/>
    <w:rsid w:val="0DFE7B03"/>
    <w:rsid w:val="0EB73F00"/>
    <w:rsid w:val="15F33884"/>
    <w:rsid w:val="16B0772A"/>
    <w:rsid w:val="17C967B9"/>
    <w:rsid w:val="1C581B44"/>
    <w:rsid w:val="1DCE5B7E"/>
    <w:rsid w:val="22E36792"/>
    <w:rsid w:val="24761396"/>
    <w:rsid w:val="254C6852"/>
    <w:rsid w:val="2558365B"/>
    <w:rsid w:val="26932E57"/>
    <w:rsid w:val="27A531E5"/>
    <w:rsid w:val="2CD930DF"/>
    <w:rsid w:val="359011B7"/>
    <w:rsid w:val="40153FD6"/>
    <w:rsid w:val="405A1DB2"/>
    <w:rsid w:val="43000F6E"/>
    <w:rsid w:val="459E05CA"/>
    <w:rsid w:val="48C229E3"/>
    <w:rsid w:val="4BB01057"/>
    <w:rsid w:val="4FEB32EB"/>
    <w:rsid w:val="4FF9121F"/>
    <w:rsid w:val="50B16141"/>
    <w:rsid w:val="50D178E4"/>
    <w:rsid w:val="51026B01"/>
    <w:rsid w:val="54C324EB"/>
    <w:rsid w:val="560E3104"/>
    <w:rsid w:val="5B796ABB"/>
    <w:rsid w:val="5E511DFD"/>
    <w:rsid w:val="5E966BC5"/>
    <w:rsid w:val="62A328E3"/>
    <w:rsid w:val="64C527B4"/>
    <w:rsid w:val="6B1B6FAF"/>
    <w:rsid w:val="6FF82D23"/>
    <w:rsid w:val="760A7538"/>
    <w:rsid w:val="7A4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</Words>
  <Characters>761</Characters>
  <Lines>4</Lines>
  <Paragraphs>1</Paragraphs>
  <TotalTime>71</TotalTime>
  <ScaleCrop>false</ScaleCrop>
  <LinksUpToDate>false</LinksUpToDate>
  <CharactersWithSpaces>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2024-05-03T23:33:00Z</dcterms:created>
  <dc:creator>HP</dc:creator>
  <cp:lastModifiedBy>王秀荣</cp:lastModifiedBy>
  <cp:lastPrinted>2024-10-09T06:56:00Z</cp:lastPrinted>
  <dcterms:modified xsi:type="dcterms:W3CDTF">2024-10-20T23:55:40Z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D542EF33E70A4DFCB70BAB557D5FA283_13</vt:lpwstr>
  </property>
</Properties>
</file>